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E9" w:rsidRPr="00821A21" w:rsidRDefault="00821A21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  <w:rPr>
          <w:rFonts w:ascii="標楷體" w:eastAsia="標楷體" w:hAnsi="標楷體" w:cs="+mn-cs"/>
          <w:b/>
          <w:bCs/>
          <w:shadow/>
          <w:color w:val="000000" w:themeColor="text1"/>
          <w:sz w:val="48"/>
          <w:szCs w:val="48"/>
          <w:u w:val="single"/>
        </w:rPr>
      </w:pPr>
      <w:r w:rsidRPr="00821A21">
        <w:rPr>
          <w:rFonts w:ascii="標楷體" w:eastAsia="標楷體" w:hAnsi="標楷體" w:cs="+mn-cs" w:hint="eastAsia"/>
          <w:b/>
          <w:bCs/>
          <w:shadow/>
          <w:color w:val="000000" w:themeColor="text1"/>
          <w:sz w:val="48"/>
          <w:szCs w:val="48"/>
          <w:u w:val="single"/>
        </w:rPr>
        <w:t>擬定方式同施</w:t>
      </w:r>
      <w:bookmarkStart w:id="0" w:name="_GoBack"/>
      <w:bookmarkEnd w:id="0"/>
      <w:r w:rsidRPr="00821A21">
        <w:rPr>
          <w:rFonts w:ascii="標楷體" w:eastAsia="標楷體" w:hAnsi="標楷體" w:cs="+mn-cs" w:hint="eastAsia"/>
          <w:b/>
          <w:bCs/>
          <w:shadow/>
          <w:color w:val="000000" w:themeColor="text1"/>
          <w:sz w:val="48"/>
          <w:szCs w:val="48"/>
          <w:u w:val="single"/>
        </w:rPr>
        <w:t>工預定進度表但需考慮下列障礙因素檢討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shadow/>
          <w:color w:val="FF3300"/>
          <w:sz w:val="48"/>
          <w:szCs w:val="48"/>
          <w:u w:val="single"/>
          <w:eastAsianLayout w:id="-2102679295"/>
        </w:rPr>
        <w:t>障礙因素</w:t>
      </w:r>
      <w:r w:rsidRPr="004A0AE9">
        <w:rPr>
          <w:rFonts w:ascii="標楷體" w:eastAsia="標楷體" w:hAnsi="標楷體" w:cs="+mn-cs" w:hint="eastAsia"/>
          <w:b/>
          <w:bCs/>
          <w:shadow/>
          <w:color w:val="FF3300"/>
          <w:sz w:val="48"/>
          <w:szCs w:val="48"/>
          <w:u w:val="single"/>
          <w:eastAsianLayout w:id="-2102679294"/>
        </w:rPr>
        <w:t>檢討工期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93"/>
        </w:rPr>
        <w:t>(※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292"/>
        </w:rPr>
        <w:t>工期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291"/>
        </w:rPr>
        <w:t>6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90"/>
        </w:rPr>
        <w:t>)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89"/>
        </w:rPr>
        <w:t>一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88"/>
        </w:rPr>
        <w:t>.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9287"/>
        </w:rPr>
        <w:t>不論所訂工期為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6"/>
        </w:rPr>
        <w:t>「日曆天」或「工作天」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85"/>
        </w:rPr>
        <w:t>，有下列因素之一者，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9284"/>
        </w:rPr>
        <w:t>廠商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3"/>
        </w:rPr>
        <w:t>得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9282"/>
        </w:rPr>
        <w:t>向機關申請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1"/>
        </w:rPr>
        <w:t>檢討工期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80"/>
        </w:rPr>
        <w:t>。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96"/>
        </w:rPr>
        <w:t>但其與前兩點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295"/>
        </w:rPr>
        <w:t>重疊者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294"/>
        </w:rPr>
        <w:t>，只計其一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9293"/>
        </w:rPr>
        <w:t>：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2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91"/>
        </w:rPr>
        <w:t>1.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0"/>
        </w:rPr>
        <w:t>障礙因素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9"/>
        </w:rPr>
        <w:t>雖未全部排除，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8"/>
        </w:rPr>
        <w:t>如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7"/>
        </w:rPr>
        <w:t>可施工範圍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6"/>
        </w:rPr>
        <w:t>(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5"/>
        </w:rPr>
        <w:t>如長度、面積等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4"/>
        </w:rPr>
        <w:t>)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3"/>
        </w:rPr>
        <w:t>已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2"/>
        </w:rPr>
        <w:t>超過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1"/>
        </w:rPr>
        <w:t>全部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0"/>
        </w:rPr>
        <w:t>工程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96"/>
        </w:rPr>
        <w:t>一半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5"/>
        </w:rPr>
        <w:t>且有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94"/>
        </w:rPr>
        <w:t>整段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93"/>
        </w:rPr>
        <w:t>可施工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2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91"/>
        </w:rPr>
        <w:t>或影響施工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90"/>
        </w:rPr>
        <w:t>障礙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9"/>
        </w:rPr>
        <w:t>因素範圍工作數量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8"/>
        </w:rPr>
        <w:t>不及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7"/>
        </w:rPr>
        <w:t>總工程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6"/>
        </w:rPr>
        <w:t>40%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5"/>
        </w:rPr>
        <w:t>者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4"/>
        </w:rPr>
        <w:t>，應按全面施工計算工期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3"/>
        </w:rPr>
        <w:t>，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82"/>
        </w:rPr>
        <w:t>不得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1"/>
        </w:rPr>
        <w:t>要求以尚有障礙因素而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80"/>
        </w:rPr>
        <w:t>提報部分停工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6"/>
        </w:rPr>
        <w:t xml:space="preserve">。但無法繼續施工時，得提報停工。  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5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94"/>
        </w:rPr>
        <w:t>2.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3"/>
        </w:rPr>
        <w:t>障礙因素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2"/>
        </w:rPr>
        <w:t>須待排除而影響工程進行，且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1"/>
        </w:rPr>
        <w:t>可施工地段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90"/>
        </w:rPr>
        <w:t>超過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9"/>
        </w:rPr>
        <w:t>40%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8"/>
        </w:rPr>
        <w:t>未達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7"/>
        </w:rPr>
        <w:t>50%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6"/>
        </w:rPr>
        <w:t>者，監造單位得督促廠商將妨礙施工情形、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eastAsianLayout w:id="-2102679285"/>
        </w:rPr>
        <w:t>可施工地段及工程項目標示於平面圖上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4"/>
        </w:rPr>
        <w:t>，由其審查後提報機關核定，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3"/>
        </w:rPr>
        <w:t>按施工日數</w:t>
      </w:r>
      <w:r w:rsidRPr="004A0AE9">
        <w:rPr>
          <w:rFonts w:ascii="標楷體" w:eastAsia="標楷體" w:hAnsi="標楷體" w:cs="+mn-cs" w:hint="eastAsia"/>
          <w:b/>
          <w:bCs/>
          <w:color w:val="333399"/>
          <w:sz w:val="48"/>
          <w:szCs w:val="48"/>
          <w:u w:val="single"/>
          <w:eastAsianLayout w:id="-2102679282"/>
        </w:rPr>
        <w:t>折半</w:t>
      </w:r>
      <w:r w:rsidRPr="004A0AE9">
        <w:rPr>
          <w:rFonts w:ascii="標楷體" w:eastAsia="標楷體" w:hAnsi="標楷體" w:cs="+mn-cs" w:hint="eastAsia"/>
          <w:b/>
          <w:bCs/>
          <w:shadow/>
          <w:color w:val="333399"/>
          <w:sz w:val="48"/>
          <w:szCs w:val="48"/>
          <w:u w:val="single"/>
          <w:eastAsianLayout w:id="-2102679281"/>
        </w:rPr>
        <w:t>計算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0"/>
        </w:rPr>
        <w:t>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6"/>
        </w:rPr>
        <w:t xml:space="preserve">。但無法繼續施工時，得提報停工。  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  <w:rPr>
          <w:rFonts w:ascii="標楷體" w:eastAsia="標楷體" w:hAnsi="標楷體" w:cs="+mn-cs"/>
          <w:b/>
          <w:bCs/>
          <w:color w:val="0000FF"/>
          <w:sz w:val="48"/>
          <w:szCs w:val="48"/>
          <w:eastAsianLayout w:id="-2102679294"/>
        </w:rPr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5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4"/>
        </w:rPr>
        <w:t>3.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3"/>
        </w:rPr>
        <w:t>障礙因素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2"/>
        </w:rPr>
        <w:t>妨礙工程進行，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91"/>
        </w:rPr>
        <w:t>可施工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90"/>
        </w:rPr>
        <w:t>部分僅為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289"/>
        </w:rPr>
        <w:t>零星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288"/>
        </w:rPr>
        <w:t>段落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7"/>
        </w:rPr>
        <w:t>或其他原因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6"/>
        </w:rPr>
        <w:t>(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5"/>
        </w:rPr>
        <w:t>如維持人車道通行等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4"/>
        </w:rPr>
        <w:t>)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3"/>
        </w:rPr>
        <w:t>無法施工時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2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1"/>
        </w:rPr>
        <w:t>監造單位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0"/>
        </w:rPr>
        <w:t>得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96"/>
        </w:rPr>
        <w:t>督促廠商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5"/>
        </w:rPr>
        <w:t>將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eastAsianLayout w:id="-2102679294"/>
        </w:rPr>
        <w:t>妨礙施工情形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3"/>
        </w:rPr>
        <w:t>、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eastAsianLayout w:id="-2102679292"/>
        </w:rPr>
        <w:t>可施工地段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1"/>
        </w:rPr>
        <w:t>及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90"/>
        </w:rPr>
        <w:t>工程項目標示於平面圖上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9"/>
        </w:rPr>
        <w:t>，分別就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288"/>
        </w:rPr>
        <w:t>可施工及無法施工之施工費用與總工程費之比例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7"/>
        </w:rPr>
        <w:t>或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6"/>
        </w:rPr>
        <w:t>按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5"/>
        </w:rPr>
        <w:t>原核定預定進度網狀圖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84"/>
        </w:rPr>
        <w:t>檢討展延工期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3"/>
        </w:rPr>
        <w:t>，考量各工程項目、每日工作量，分別重新擬定預定進度表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2"/>
        </w:rPr>
        <w:t>(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1"/>
        </w:rPr>
        <w:t>即預定進度桿狀圖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80"/>
        </w:rPr>
        <w:t>)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6"/>
        </w:rPr>
        <w:t>或預定進度網狀圖，由其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295"/>
        </w:rPr>
        <w:t>審查後提報機關核定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4"/>
        </w:rPr>
        <w:t xml:space="preserve">。 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294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26"/>
        </w:rPr>
        <w:t>4.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5"/>
        </w:rPr>
        <w:t>雖妨礙施工之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24"/>
        </w:rPr>
        <w:t>障礙因素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40"/>
        </w:rPr>
        <w:t>，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9"/>
        </w:rPr>
        <w:t>所占範圍不大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8"/>
        </w:rPr>
        <w:t>，惟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eastAsianLayout w:id="-2102679037"/>
        </w:rPr>
        <w:t>確實嚴重影響工程進度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6"/>
        </w:rPr>
        <w:t>(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5"/>
        </w:rPr>
        <w:t>即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4"/>
        </w:rPr>
        <w:t>影響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3"/>
        </w:rPr>
        <w:t>預定進度表之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2"/>
        </w:rPr>
        <w:t>主要工作項目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1"/>
        </w:rPr>
        <w:t>或預定進度網狀圖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0"/>
        </w:rPr>
        <w:t>主要路徑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29"/>
        </w:rPr>
        <w:t>之工程項目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8"/>
        </w:rPr>
        <w:t>)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7"/>
        </w:rPr>
        <w:t>，其妨礙施工部分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6"/>
        </w:rPr>
        <w:t>以比例折算工期不合理者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5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4"/>
        </w:rPr>
        <w:t>監造單位得於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40"/>
        </w:rPr>
        <w:t>該工程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9"/>
        </w:rPr>
        <w:t>可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38"/>
        </w:rPr>
        <w:t>施工部分全部完成後提報停工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7"/>
        </w:rPr>
        <w:t>時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6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5"/>
        </w:rPr>
        <w:t>併案檢討該未完工部分之合理工期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4"/>
        </w:rPr>
        <w:t xml:space="preserve">，並督促廠商重新擬定預定進度表或預定進度網狀圖，由其審查後提報機關核定。  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3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32"/>
        </w:rPr>
        <w:t>5.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1"/>
        </w:rPr>
        <w:t>施工期間因辦理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30"/>
        </w:rPr>
        <w:t>變更設計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29"/>
        </w:rPr>
        <w:t>追加、減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8"/>
        </w:rPr>
        <w:t>工程項目或數量，其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7"/>
        </w:rPr>
        <w:t>工期得按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26"/>
        </w:rPr>
        <w:t>追加、減金額與契約金額之比例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5"/>
        </w:rPr>
        <w:t>核算延長或縮短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4"/>
        </w:rPr>
        <w:t>，若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40"/>
        </w:rPr>
        <w:t>因變更設計案未定案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9"/>
        </w:rPr>
        <w:t>致影響工程進行或變更設計、變更施工程序影響施工要徑作業，其事由不能歸責於廠商，且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8"/>
        </w:rPr>
        <w:t>以金額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37"/>
        </w:rPr>
        <w:t>比例折算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6"/>
        </w:rPr>
        <w:t>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35"/>
        </w:rPr>
        <w:t>不合理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4"/>
        </w:rPr>
        <w:t>者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3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32"/>
        </w:rPr>
        <w:t>監造單位得督促廠商敘明理由，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31"/>
        </w:rPr>
        <w:t>重新檢討合理工期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30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29"/>
        </w:rPr>
        <w:t>並修正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8"/>
        </w:rPr>
        <w:t>預定進度表或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27"/>
        </w:rPr>
        <w:t>預定進度網狀圖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6"/>
        </w:rPr>
        <w:t>，由其審查後提報機關核定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5"/>
        </w:rPr>
        <w:t>。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4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40"/>
        </w:rPr>
        <w:t>6.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9"/>
        </w:rPr>
        <w:t>各項工程於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38"/>
        </w:rPr>
        <w:t>施築下列項目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7"/>
        </w:rPr>
        <w:t>，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9036"/>
        </w:rPr>
        <w:t>因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35"/>
        </w:rPr>
        <w:t>陰雨影響無法施工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4"/>
        </w:rPr>
        <w:t>且屬預定進度表之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3"/>
        </w:rPr>
        <w:t>主要工作項目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2"/>
        </w:rPr>
        <w:t>或預定進度網狀圖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31"/>
        </w:rPr>
        <w:t>主要徑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30"/>
        </w:rPr>
        <w:t>之工程項目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9"/>
        </w:rPr>
        <w:t>時，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8"/>
        </w:rPr>
        <w:t>得提報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u w:val="single"/>
          <w:eastAsianLayout w:id="-2102679027"/>
        </w:rPr>
        <w:t>停工或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9026"/>
        </w:rPr>
        <w:t>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25"/>
        </w:rPr>
        <w:t>，並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9024"/>
        </w:rPr>
        <w:t>於提報工期檢討時，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9040"/>
        </w:rPr>
        <w:t>檢附氣象資料佐證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9039"/>
        </w:rPr>
        <w:t>：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912" w:hanging="432"/>
        <w:jc w:val="both"/>
        <w:textAlignment w:val="baseline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9038"/>
        </w:rPr>
        <w:t>1)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7"/>
        </w:rPr>
        <w:t>需分層夯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6"/>
        </w:rPr>
        <w:t>(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5"/>
        </w:rPr>
        <w:t>壓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4"/>
        </w:rPr>
        <w:t>)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3"/>
        </w:rPr>
        <w:t>實並作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9032"/>
        </w:rPr>
        <w:t>壓密試驗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eastAsianLayout w:id="-2102679031"/>
        </w:rPr>
        <w:t>者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9030"/>
        </w:rPr>
        <w:t>：如土堤、路床、路基、管溝回填、整地工程等。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912" w:hanging="432"/>
        <w:jc w:val="both"/>
        <w:textAlignment w:val="baseline"/>
      </w:pP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78"/>
        </w:rPr>
        <w:t>2)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77"/>
        </w:rPr>
        <w:t>各類面層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76"/>
        </w:rPr>
        <w:t>：如人行道、露天混凝土地坪、面磚、外牆或表層粉飾、油漆、屋頂防水、瀝青混凝土鋪築、環氧樹脂地坪等。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912" w:hanging="432"/>
        <w:jc w:val="both"/>
        <w:textAlignment w:val="baseline"/>
      </w:pP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75"/>
        </w:rPr>
        <w:t>3)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74"/>
        </w:rPr>
        <w:t>鋼構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73"/>
        </w:rPr>
        <w:t>之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72"/>
        </w:rPr>
        <w:t>工地現場組裝焊接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71"/>
        </w:rPr>
        <w:t>、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70"/>
        </w:rPr>
        <w:t>護坡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69"/>
        </w:rPr>
        <w:t>或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68"/>
        </w:rPr>
        <w:t>邊坡工程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84"/>
        </w:rPr>
        <w:t>、</w:t>
      </w:r>
      <w:r w:rsidRPr="004A0AE9">
        <w:rPr>
          <w:rFonts w:ascii="標楷體" w:eastAsia="標楷體" w:hAnsi="標楷體" w:hint="eastAsia"/>
          <w:b/>
          <w:bCs/>
          <w:shadow/>
          <w:color w:val="FF0000"/>
          <w:sz w:val="48"/>
          <w:szCs w:val="48"/>
          <w:u w:val="single"/>
          <w:eastAsianLayout w:id="-2102678783"/>
        </w:rPr>
        <w:t>伸縮縫</w:t>
      </w:r>
      <w:r w:rsidRPr="004A0AE9">
        <w:rPr>
          <w:rFonts w:ascii="標楷體" w:eastAsia="標楷體" w:hAnsi="標楷體" w:hint="eastAsia"/>
          <w:b/>
          <w:bCs/>
          <w:color w:val="FF0000"/>
          <w:sz w:val="48"/>
          <w:szCs w:val="48"/>
          <w:eastAsianLayout w:id="-2102678782"/>
        </w:rPr>
        <w:t>處理等。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912" w:hanging="432"/>
        <w:jc w:val="both"/>
        <w:textAlignment w:val="baseline"/>
      </w:pPr>
      <w:r w:rsidRPr="004A0AE9">
        <w:rPr>
          <w:rFonts w:ascii="標楷體" w:eastAsia="標楷體" w:hAnsi="標楷體" w:hint="eastAsia"/>
          <w:b/>
          <w:bCs/>
          <w:color w:val="0000FF"/>
          <w:sz w:val="48"/>
          <w:szCs w:val="48"/>
          <w:eastAsianLayout w:id="-2102678781"/>
        </w:rPr>
        <w:t>4)</w:t>
      </w:r>
      <w:r w:rsidRPr="004A0AE9">
        <w:rPr>
          <w:rFonts w:ascii="標楷體" w:eastAsia="標楷體" w:hAnsi="標楷體" w:hint="eastAsia"/>
          <w:b/>
          <w:bCs/>
          <w:color w:val="0000FF"/>
          <w:sz w:val="48"/>
          <w:szCs w:val="48"/>
          <w:eastAsianLayout w:id="-2102678780"/>
        </w:rPr>
        <w:t>其他施工項目經機關核定者。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eastAsianLayout w:id="-2102678779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8"/>
        </w:rPr>
        <w:t>7.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7"/>
        </w:rPr>
        <w:t>廠商自備之外購器材已按時辦妥訂購及進口手續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，惟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5"/>
        </w:rPr>
        <w:t>因不可抗力之因素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4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3"/>
        </w:rPr>
        <w:t>無法如期運達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2"/>
        </w:rPr>
        <w:t>，影響全部或部分工程之施工，提出證明文件經機關核定者，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1"/>
        </w:rPr>
        <w:t>得按實際影響情形辦理展延工期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0"/>
        </w:rPr>
        <w:t>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9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8"/>
        </w:rPr>
        <w:t>8.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4"/>
        </w:rPr>
        <w:t>機關提供之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3"/>
        </w:rPr>
        <w:t>地質鑽探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2"/>
        </w:rPr>
        <w:t>或地質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1"/>
        </w:rPr>
        <w:t>資料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0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9"/>
        </w:rPr>
        <w:t>與實際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8"/>
        </w:rPr>
        <w:t>情形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7"/>
        </w:rPr>
        <w:t>有重大差異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5"/>
        </w:rPr>
        <w:t>得按實際影響情形辦理展延工期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4"/>
        </w:rPr>
        <w:t xml:space="preserve">。 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3"/>
        </w:rPr>
        <w:t xml:space="preserve"> 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2"/>
        </w:rPr>
        <w:t>9.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1"/>
        </w:rPr>
        <w:t>因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0"/>
        </w:rPr>
        <w:t>傳染病或政府之行為，致發生不可預見之人力或物資之短缺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9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68"/>
        </w:rPr>
        <w:t>得按實際影響情形辦理展延工期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4"/>
        </w:rPr>
        <w:t xml:space="preserve">。 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3"/>
        </w:rPr>
        <w:t>10.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2"/>
        </w:rPr>
        <w:t>因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1"/>
        </w:rPr>
        <w:t>機關使用或未交付本工程任何部分，致無法施工者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0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9"/>
        </w:rPr>
        <w:t>得按實際影響情形辦理展延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8"/>
        </w:rPr>
        <w:t>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7"/>
        </w:rPr>
        <w:t xml:space="preserve">，但契約另有約定者，不在此限。 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11.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5"/>
        </w:rPr>
        <w:t>因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4"/>
        </w:rPr>
        <w:t>機關延遲辦理工程查驗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3"/>
        </w:rPr>
        <w:t>，致廠商未能依時履約者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2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1"/>
        </w:rPr>
        <w:t>得按實際影響情形辦理展延工期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0"/>
        </w:rPr>
        <w:t>。</w:t>
      </w: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  <w:rPr>
          <w:rFonts w:ascii="標楷體" w:eastAsia="標楷體" w:hAnsi="標楷體" w:cs="+mn-cs"/>
          <w:b/>
          <w:bCs/>
          <w:color w:val="000000"/>
          <w:sz w:val="48"/>
          <w:szCs w:val="48"/>
        </w:rPr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9"/>
        </w:rPr>
        <w:t>二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8"/>
        </w:rPr>
        <w:t>.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4"/>
        </w:rPr>
        <w:t>如有本要點所列不計之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3"/>
        </w:rPr>
        <w:t>工作天、日曆天或工期核算要點第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2"/>
        </w:rPr>
        <w:t>6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1"/>
        </w:rPr>
        <w:t>點之因素，依契約約定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0"/>
        </w:rPr>
        <w:t>必須停工時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9"/>
        </w:rPr>
        <w:t>，應依「本府所屬各機關工程施工及驗收基準」第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8"/>
        </w:rPr>
        <w:t>9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7"/>
        </w:rPr>
        <w:t>點辦理。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6"/>
        </w:rPr>
        <w:t>(※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5"/>
        </w:rPr>
        <w:t>工期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4"/>
        </w:rPr>
        <w:t>7)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72"/>
        </w:rPr>
        <w:t>三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1"/>
        </w:rPr>
        <w:t>.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8770"/>
        </w:rPr>
        <w:t>※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8769"/>
        </w:rPr>
        <w:t>基準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8768"/>
        </w:rPr>
        <w:t>9</w:t>
      </w:r>
      <w:r w:rsidRPr="004A0AE9">
        <w:rPr>
          <w:rFonts w:ascii="標楷體" w:eastAsia="標楷體" w:hAnsi="標楷體" w:cs="+mn-cs" w:hint="eastAsia"/>
          <w:b/>
          <w:bCs/>
          <w:shadow/>
          <w:color w:val="000000"/>
          <w:sz w:val="48"/>
          <w:szCs w:val="48"/>
          <w:u w:val="single"/>
          <w:eastAsianLayout w:id="-2102678784"/>
        </w:rPr>
        <w:t>：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3"/>
        </w:rPr>
        <w:t>工程因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2"/>
        </w:rPr>
        <w:t>不可歸責於廠商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1"/>
        </w:rPr>
        <w:t>之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0"/>
        </w:rPr>
        <w:t>因素，依契約約定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9"/>
        </w:rPr>
        <w:t>必須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8"/>
        </w:rPr>
        <w:t>停工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7"/>
        </w:rPr>
        <w:t>時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5"/>
        </w:rPr>
        <w:t>工程司應督促廠商於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4"/>
        </w:rPr>
        <w:t>停工因素發生後二日內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3"/>
        </w:rPr>
        <w:t>提送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2"/>
        </w:rPr>
        <w:t>相關檢討資料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1"/>
        </w:rPr>
        <w:t>及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0"/>
        </w:rPr>
        <w:t>事證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9"/>
        </w:rPr>
        <w:t>並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68"/>
        </w:rPr>
        <w:t>填報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4"/>
        </w:rPr>
        <w:t>停工報告表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3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2"/>
        </w:rPr>
        <w:t>工程司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1"/>
        </w:rPr>
        <w:t>於收受廠商停工報告表後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0"/>
        </w:rPr>
        <w:t>應即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9"/>
        </w:rPr>
        <w:t>查證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8"/>
        </w:rPr>
        <w:t>，並於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7"/>
        </w:rPr>
        <w:t>二日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76"/>
        </w:rPr>
        <w:t>內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5"/>
        </w:rPr>
        <w:t>向機關報核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4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3"/>
        </w:rPr>
        <w:t>機關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2"/>
        </w:rPr>
        <w:t>於收受停工報核資料後次日起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1"/>
        </w:rPr>
        <w:t>五日內核定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0"/>
        </w:rPr>
        <w:t>。機關視需要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69"/>
        </w:rPr>
        <w:t>通知其他相關機關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8"/>
        </w:rPr>
        <w:t>備查。</w:t>
      </w:r>
    </w:p>
    <w:p w:rsidR="004A0AE9" w:rsidRDefault="004A0AE9" w:rsidP="004A0AE9">
      <w:pPr>
        <w:pStyle w:val="Web"/>
        <w:spacing w:before="0" w:beforeAutospacing="0" w:after="0" w:afterAutospacing="0" w:line="228" w:lineRule="auto"/>
        <w:ind w:left="1186" w:hanging="706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4"/>
        </w:rPr>
        <w:t xml:space="preserve">   前項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3"/>
        </w:rPr>
        <w:t>停工因素消失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2"/>
        </w:rPr>
        <w:t>後，工程司應督促廠商於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1"/>
        </w:rPr>
        <w:t>停工因素消失次日起二日內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0"/>
        </w:rPr>
        <w:t>填報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9"/>
        </w:rPr>
        <w:t>復工報告表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8"/>
        </w:rPr>
        <w:t>，工程司應於收受廠商復工報告表後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7"/>
        </w:rPr>
        <w:t>二日內向機關報核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。如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5"/>
        </w:rPr>
        <w:t>廠商不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4"/>
        </w:rPr>
        <w:t>為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3"/>
        </w:rPr>
        <w:t>提報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2"/>
        </w:rPr>
        <w:t>復工者，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1"/>
        </w:rPr>
        <w:t>機關得以書面通知廠商指定復工日期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0"/>
        </w:rPr>
        <w:t>，並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69"/>
        </w:rPr>
        <w:t>起算工期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8"/>
        </w:rPr>
        <w:t>。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u w:val="single"/>
          <w:eastAsianLayout w:id="-2102678784"/>
        </w:rPr>
        <w:t>(※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u w:val="single"/>
          <w:eastAsianLayout w:id="-2102678783"/>
        </w:rPr>
        <w:t>基準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u w:val="single"/>
          <w:eastAsianLayout w:id="-2102678782"/>
        </w:rPr>
        <w:t>9)</w:t>
      </w:r>
    </w:p>
    <w:p w:rsidR="004A0AE9" w:rsidRDefault="004A0AE9" w:rsidP="004A0AE9">
      <w:pPr>
        <w:pStyle w:val="Web"/>
        <w:spacing w:before="0" w:beforeAutospacing="0" w:after="0" w:afterAutospacing="0" w:line="228" w:lineRule="auto"/>
        <w:ind w:left="1186" w:hanging="706"/>
        <w:textAlignment w:val="baseline"/>
      </w:pP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1"/>
        </w:rPr>
        <w:t>四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eastAsianLayout w:id="-2102678780"/>
        </w:rPr>
        <w:t>.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9"/>
        </w:rPr>
        <w:t>工程管理費：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8"/>
        </w:rPr>
        <w:t>(※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7"/>
        </w:rPr>
        <w:t>契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6"/>
        </w:rPr>
        <w:t>22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5"/>
        </w:rPr>
        <w:t>五</w:t>
      </w: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4"/>
        </w:rPr>
        <w:t>)</w:t>
      </w:r>
    </w:p>
    <w:p w:rsidR="004A0AE9" w:rsidRDefault="004A0AE9" w:rsidP="004A0AE9">
      <w:pPr>
        <w:pStyle w:val="Web"/>
        <w:spacing w:before="0" w:beforeAutospacing="0" w:after="0" w:afterAutospacing="0" w:line="228" w:lineRule="auto"/>
        <w:ind w:left="1186" w:hanging="706"/>
        <w:jc w:val="both"/>
        <w:textAlignment w:val="baseline"/>
      </w:pPr>
      <w:r>
        <w:rPr>
          <w:rFonts w:ascii="標楷體" w:eastAsia="標楷體" w:hAnsi="標楷體" w:cs="+mn-cs" w:hint="eastAsia"/>
          <w:b/>
          <w:bCs/>
          <w:color w:val="000000"/>
          <w:sz w:val="48"/>
          <w:szCs w:val="48"/>
          <w:eastAsianLayout w:id="-2102678773"/>
        </w:rPr>
        <w:t xml:space="preserve">   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2"/>
        </w:rPr>
        <w:t>除</w:t>
      </w:r>
      <w:r w:rsidRPr="004A0AE9">
        <w:rPr>
          <w:rFonts w:ascii="標楷體" w:eastAsia="標楷體" w:hAnsi="標楷體" w:cs="+mn-cs" w:hint="eastAsia"/>
          <w:b/>
          <w:bCs/>
          <w:color w:val="333399"/>
          <w:sz w:val="48"/>
          <w:szCs w:val="48"/>
          <w:u w:val="single"/>
          <w:eastAsianLayout w:id="-2102678771"/>
        </w:rPr>
        <w:t>契約變更增減數量或新增項目所致之展延履約期限不得再請求外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0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69"/>
        </w:rPr>
        <w:t>經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68"/>
        </w:rPr>
        <w:t>機關同意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4"/>
        </w:rPr>
        <w:t>全部暫停執行或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3"/>
        </w:rPr>
        <w:t>展延履約期限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2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1"/>
        </w:rPr>
        <w:t>除經機關認定有不宜給付情形外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0"/>
        </w:rPr>
        <w:t>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9"/>
        </w:rPr>
        <w:t>廠商得向機關請求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8"/>
        </w:rPr>
        <w:t>按訂約總價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8777"/>
        </w:rPr>
        <w:t>(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8776"/>
        </w:rPr>
        <w:t>應扣除營業稅</w:t>
      </w:r>
      <w:r w:rsidRPr="004A0AE9">
        <w:rPr>
          <w:rFonts w:ascii="標楷體" w:eastAsia="標楷體" w:hAnsi="標楷體" w:cs="+mn-cs" w:hint="eastAsia"/>
          <w:b/>
          <w:bCs/>
          <w:color w:val="FF0000"/>
          <w:sz w:val="48"/>
          <w:szCs w:val="48"/>
          <w:u w:val="single"/>
          <w:eastAsianLayout w:id="-2102678775"/>
        </w:rPr>
        <w:t>)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4"/>
        </w:rPr>
        <w:t>{2.5+[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3"/>
        </w:rPr>
        <w:t>保險費率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2"/>
        </w:rPr>
        <w:t>]}%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71"/>
        </w:rPr>
        <w:t>除以原工期日數所得金額乘以展延或停工日數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0"/>
        </w:rPr>
        <w:t>之工程管理費用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69"/>
        </w:rPr>
        <w:t>，且其費用不含所失利益、以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68"/>
        </w:rPr>
        <w:t>不超過訂約總價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4"/>
        </w:rPr>
        <w:t>10%</w:t>
      </w:r>
      <w:r w:rsidRPr="004A0AE9">
        <w:rPr>
          <w:rFonts w:ascii="標楷體" w:eastAsia="標楷體" w:hAnsi="標楷體" w:cs="+mn-cs" w:hint="eastAsia"/>
          <w:b/>
          <w:bCs/>
          <w:shadow/>
          <w:color w:val="FF0000"/>
          <w:sz w:val="48"/>
          <w:szCs w:val="48"/>
          <w:u w:val="single"/>
          <w:eastAsianLayout w:id="-2102678783"/>
        </w:rPr>
        <w:t>為限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2"/>
        </w:rPr>
        <w:t>。本項工程管理費已包含工程保險費及營業稅。如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81"/>
        </w:rPr>
        <w:t>因不可歸責於雙方之事由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80"/>
        </w:rPr>
        <w:t>者，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9"/>
        </w:rPr>
        <w:t>廠商得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8"/>
        </w:rPr>
        <w:t>申請之工程管理費用應予</w:t>
      </w:r>
      <w:r w:rsidRPr="004A0AE9">
        <w:rPr>
          <w:rFonts w:ascii="標楷體" w:eastAsia="標楷體" w:hAnsi="標楷體" w:cs="+mn-cs" w:hint="eastAsia"/>
          <w:b/>
          <w:bCs/>
          <w:shadow/>
          <w:color w:val="0000FF"/>
          <w:sz w:val="48"/>
          <w:szCs w:val="48"/>
          <w:u w:val="single"/>
          <w:eastAsianLayout w:id="-2102678777"/>
        </w:rPr>
        <w:t>減半</w:t>
      </w:r>
      <w:r w:rsidRPr="004A0AE9">
        <w:rPr>
          <w:rFonts w:ascii="標楷體" w:eastAsia="標楷體" w:hAnsi="標楷體" w:cs="+mn-cs" w:hint="eastAsia"/>
          <w:b/>
          <w:bCs/>
          <w:color w:val="0000FF"/>
          <w:sz w:val="48"/>
          <w:szCs w:val="48"/>
          <w:eastAsianLayout w:id="-2102678776"/>
        </w:rPr>
        <w:t>。</w:t>
      </w:r>
    </w:p>
    <w:p w:rsidR="004A0AE9" w:rsidRP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</w:p>
    <w:p w:rsidR="004A0AE9" w:rsidRDefault="004A0AE9" w:rsidP="004A0AE9">
      <w:pPr>
        <w:pStyle w:val="Web"/>
        <w:tabs>
          <w:tab w:val="left" w:pos="710"/>
        </w:tabs>
        <w:wordWrap w:val="0"/>
        <w:spacing w:before="0" w:beforeAutospacing="0" w:after="0" w:afterAutospacing="0" w:line="220" w:lineRule="auto"/>
        <w:ind w:left="1186" w:hanging="706"/>
        <w:jc w:val="both"/>
        <w:textAlignment w:val="baseline"/>
      </w:pPr>
      <w:r>
        <w:rPr>
          <w:rFonts w:ascii="Arial" w:hAnsi="Arial" w:cs="+mn-cs"/>
          <w:color w:val="000000"/>
          <w:sz w:val="48"/>
          <w:szCs w:val="48"/>
          <w:eastAsianLayout w:id="-2102678773"/>
        </w:rPr>
        <w:t xml:space="preserve"> </w:t>
      </w:r>
    </w:p>
    <w:p w:rsid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912" w:hanging="432"/>
        <w:jc w:val="both"/>
        <w:textAlignment w:val="baseline"/>
        <w:rPr>
          <w:rFonts w:hint="eastAsia"/>
        </w:rPr>
      </w:pPr>
    </w:p>
    <w:p w:rsidR="004A0AE9" w:rsidRPr="004A0AE9" w:rsidRDefault="004A0AE9" w:rsidP="004A0AE9">
      <w:pPr>
        <w:pStyle w:val="Web"/>
        <w:wordWrap w:val="0"/>
        <w:spacing w:before="0" w:beforeAutospacing="0" w:after="0" w:afterAutospacing="0" w:line="228" w:lineRule="auto"/>
        <w:ind w:left="1186" w:hanging="706"/>
        <w:jc w:val="both"/>
        <w:textAlignment w:val="baseline"/>
      </w:pPr>
    </w:p>
    <w:p w:rsidR="00CA38BB" w:rsidRPr="004A0AE9" w:rsidRDefault="00CA38BB" w:rsidP="004A0AE9"/>
    <w:sectPr w:rsidR="00CA38BB" w:rsidRPr="004A0AE9" w:rsidSect="00E2550A">
      <w:footerReference w:type="default" r:id="rId8"/>
      <w:pgSz w:w="16838" w:h="11906" w:orient="landscape"/>
      <w:pgMar w:top="720" w:right="720" w:bottom="720" w:left="720" w:header="340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DC" w:rsidRDefault="00562CDC" w:rsidP="001C6C20">
      <w:r>
        <w:separator/>
      </w:r>
    </w:p>
  </w:endnote>
  <w:endnote w:type="continuationSeparator" w:id="0">
    <w:p w:rsidR="00562CDC" w:rsidRDefault="00562CDC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8BB" w:rsidRDefault="00CA38BB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DC" w:rsidRDefault="00562CDC" w:rsidP="001C6C20">
      <w:r>
        <w:separator/>
      </w:r>
    </w:p>
  </w:footnote>
  <w:footnote w:type="continuationSeparator" w:id="0">
    <w:p w:rsidR="00562CDC" w:rsidRDefault="00562CDC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91ECB"/>
    <w:multiLevelType w:val="hybridMultilevel"/>
    <w:tmpl w:val="FE22051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6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9321CB"/>
    <w:multiLevelType w:val="hybridMultilevel"/>
    <w:tmpl w:val="5248097A"/>
    <w:lvl w:ilvl="0" w:tplc="DD0823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FC54B6"/>
    <w:multiLevelType w:val="hybridMultilevel"/>
    <w:tmpl w:val="32A434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8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A00F95"/>
    <w:multiLevelType w:val="hybridMultilevel"/>
    <w:tmpl w:val="67EC4D38"/>
    <w:lvl w:ilvl="0" w:tplc="C9C8A2A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2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2"/>
  </w:num>
  <w:num w:numId="5">
    <w:abstractNumId w:val="11"/>
  </w:num>
  <w:num w:numId="6">
    <w:abstractNumId w:val="20"/>
  </w:num>
  <w:num w:numId="7">
    <w:abstractNumId w:val="16"/>
  </w:num>
  <w:num w:numId="8">
    <w:abstractNumId w:val="2"/>
  </w:num>
  <w:num w:numId="9">
    <w:abstractNumId w:val="14"/>
  </w:num>
  <w:num w:numId="10">
    <w:abstractNumId w:val="7"/>
  </w:num>
  <w:num w:numId="11">
    <w:abstractNumId w:val="4"/>
  </w:num>
  <w:num w:numId="12">
    <w:abstractNumId w:val="19"/>
  </w:num>
  <w:num w:numId="13">
    <w:abstractNumId w:val="8"/>
  </w:num>
  <w:num w:numId="14">
    <w:abstractNumId w:val="3"/>
  </w:num>
  <w:num w:numId="15">
    <w:abstractNumId w:val="6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15"/>
  </w:num>
  <w:num w:numId="21">
    <w:abstractNumId w:val="9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7EC2"/>
    <w:rsid w:val="00034B68"/>
    <w:rsid w:val="00051D4D"/>
    <w:rsid w:val="0006195D"/>
    <w:rsid w:val="00061D77"/>
    <w:rsid w:val="000713AA"/>
    <w:rsid w:val="0007187C"/>
    <w:rsid w:val="0007329D"/>
    <w:rsid w:val="000743A5"/>
    <w:rsid w:val="000A7E65"/>
    <w:rsid w:val="000B05FA"/>
    <w:rsid w:val="000C2E36"/>
    <w:rsid w:val="000D0231"/>
    <w:rsid w:val="000F46DD"/>
    <w:rsid w:val="00117C5F"/>
    <w:rsid w:val="0013740A"/>
    <w:rsid w:val="00144C6F"/>
    <w:rsid w:val="00186BF1"/>
    <w:rsid w:val="00186D17"/>
    <w:rsid w:val="001C6C20"/>
    <w:rsid w:val="001D5F43"/>
    <w:rsid w:val="001F1E29"/>
    <w:rsid w:val="00205566"/>
    <w:rsid w:val="002162B8"/>
    <w:rsid w:val="002301D4"/>
    <w:rsid w:val="002421C6"/>
    <w:rsid w:val="00242772"/>
    <w:rsid w:val="00253D4E"/>
    <w:rsid w:val="00256554"/>
    <w:rsid w:val="00263AEC"/>
    <w:rsid w:val="0028655A"/>
    <w:rsid w:val="002D1922"/>
    <w:rsid w:val="002E11B4"/>
    <w:rsid w:val="0031039D"/>
    <w:rsid w:val="0031590D"/>
    <w:rsid w:val="0033435B"/>
    <w:rsid w:val="00346375"/>
    <w:rsid w:val="00347840"/>
    <w:rsid w:val="003755AC"/>
    <w:rsid w:val="00376CE4"/>
    <w:rsid w:val="0039488A"/>
    <w:rsid w:val="003A729A"/>
    <w:rsid w:val="003B12AE"/>
    <w:rsid w:val="003B3F5B"/>
    <w:rsid w:val="003B5003"/>
    <w:rsid w:val="003D2C6A"/>
    <w:rsid w:val="003D7990"/>
    <w:rsid w:val="00404AFD"/>
    <w:rsid w:val="00406E9D"/>
    <w:rsid w:val="00414C88"/>
    <w:rsid w:val="004166AF"/>
    <w:rsid w:val="0044411B"/>
    <w:rsid w:val="00451F71"/>
    <w:rsid w:val="00462B9E"/>
    <w:rsid w:val="00465FB6"/>
    <w:rsid w:val="0049035F"/>
    <w:rsid w:val="0049765E"/>
    <w:rsid w:val="004A0AE9"/>
    <w:rsid w:val="004A3A4B"/>
    <w:rsid w:val="00500220"/>
    <w:rsid w:val="00530D92"/>
    <w:rsid w:val="005342BE"/>
    <w:rsid w:val="00556D1E"/>
    <w:rsid w:val="005608D1"/>
    <w:rsid w:val="00562CDC"/>
    <w:rsid w:val="00584D1D"/>
    <w:rsid w:val="005C502F"/>
    <w:rsid w:val="005F5D61"/>
    <w:rsid w:val="00601B98"/>
    <w:rsid w:val="00617468"/>
    <w:rsid w:val="006208AD"/>
    <w:rsid w:val="006343A6"/>
    <w:rsid w:val="00642259"/>
    <w:rsid w:val="006424C8"/>
    <w:rsid w:val="006468F7"/>
    <w:rsid w:val="0066191E"/>
    <w:rsid w:val="006B4670"/>
    <w:rsid w:val="006C2100"/>
    <w:rsid w:val="006C4D9B"/>
    <w:rsid w:val="006E68FF"/>
    <w:rsid w:val="006F6052"/>
    <w:rsid w:val="00703074"/>
    <w:rsid w:val="00720444"/>
    <w:rsid w:val="0075296B"/>
    <w:rsid w:val="00756B2D"/>
    <w:rsid w:val="007B588D"/>
    <w:rsid w:val="007E3A0E"/>
    <w:rsid w:val="007F1BAB"/>
    <w:rsid w:val="00803F06"/>
    <w:rsid w:val="00821A21"/>
    <w:rsid w:val="008417DD"/>
    <w:rsid w:val="0084594B"/>
    <w:rsid w:val="008472FB"/>
    <w:rsid w:val="00861F42"/>
    <w:rsid w:val="00870B3F"/>
    <w:rsid w:val="0087384E"/>
    <w:rsid w:val="00885706"/>
    <w:rsid w:val="008926D5"/>
    <w:rsid w:val="00895971"/>
    <w:rsid w:val="008F58CA"/>
    <w:rsid w:val="00901307"/>
    <w:rsid w:val="00905A65"/>
    <w:rsid w:val="0092787E"/>
    <w:rsid w:val="0095329F"/>
    <w:rsid w:val="0095563E"/>
    <w:rsid w:val="00960B39"/>
    <w:rsid w:val="00972FAF"/>
    <w:rsid w:val="009978DC"/>
    <w:rsid w:val="009B7D41"/>
    <w:rsid w:val="009F1BCE"/>
    <w:rsid w:val="00A025B9"/>
    <w:rsid w:val="00A04084"/>
    <w:rsid w:val="00A16698"/>
    <w:rsid w:val="00A277BB"/>
    <w:rsid w:val="00A467B9"/>
    <w:rsid w:val="00A76F2D"/>
    <w:rsid w:val="00A87393"/>
    <w:rsid w:val="00AA55D3"/>
    <w:rsid w:val="00AB4B87"/>
    <w:rsid w:val="00AB4DC2"/>
    <w:rsid w:val="00AF6396"/>
    <w:rsid w:val="00AF6A51"/>
    <w:rsid w:val="00B05E0C"/>
    <w:rsid w:val="00B147D5"/>
    <w:rsid w:val="00B204F3"/>
    <w:rsid w:val="00B274C8"/>
    <w:rsid w:val="00B279DD"/>
    <w:rsid w:val="00B34C2D"/>
    <w:rsid w:val="00B745C5"/>
    <w:rsid w:val="00BD1D5F"/>
    <w:rsid w:val="00BD1FAF"/>
    <w:rsid w:val="00BE6101"/>
    <w:rsid w:val="00C215D1"/>
    <w:rsid w:val="00C546D7"/>
    <w:rsid w:val="00C60957"/>
    <w:rsid w:val="00C955E8"/>
    <w:rsid w:val="00CA38BB"/>
    <w:rsid w:val="00CD3B0F"/>
    <w:rsid w:val="00CF64CE"/>
    <w:rsid w:val="00CF7903"/>
    <w:rsid w:val="00D55FD2"/>
    <w:rsid w:val="00D565B6"/>
    <w:rsid w:val="00D80B6E"/>
    <w:rsid w:val="00D82DAC"/>
    <w:rsid w:val="00D8699E"/>
    <w:rsid w:val="00DA3632"/>
    <w:rsid w:val="00DD135A"/>
    <w:rsid w:val="00DF5DF0"/>
    <w:rsid w:val="00E17824"/>
    <w:rsid w:val="00E2550A"/>
    <w:rsid w:val="00E52C51"/>
    <w:rsid w:val="00E62B64"/>
    <w:rsid w:val="00E94802"/>
    <w:rsid w:val="00EA1451"/>
    <w:rsid w:val="00EA7A1A"/>
    <w:rsid w:val="00EB4DF6"/>
    <w:rsid w:val="00EE1604"/>
    <w:rsid w:val="00EE334B"/>
    <w:rsid w:val="00EF7A35"/>
    <w:rsid w:val="00F02239"/>
    <w:rsid w:val="00F32D02"/>
    <w:rsid w:val="00F44B40"/>
    <w:rsid w:val="00F76A7E"/>
    <w:rsid w:val="00F936B3"/>
    <w:rsid w:val="00FB1F71"/>
    <w:rsid w:val="00FB65B8"/>
    <w:rsid w:val="00FC2143"/>
    <w:rsid w:val="00FD59FD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A7705152-7AE6-40DD-9840-C8AA67F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ae">
    <w:name w:val="Note Heading"/>
    <w:basedOn w:val="a"/>
    <w:next w:val="a"/>
    <w:link w:val="af"/>
    <w:rsid w:val="00CA38BB"/>
    <w:pPr>
      <w:spacing w:line="500" w:lineRule="exact"/>
      <w:jc w:val="center"/>
    </w:pPr>
    <w:rPr>
      <w:rFonts w:ascii="標楷體" w:eastAsia="標楷體" w:hAnsi="Times New Roman" w:cs="Times New Roman"/>
      <w:sz w:val="26"/>
      <w:szCs w:val="20"/>
    </w:rPr>
  </w:style>
  <w:style w:type="character" w:customStyle="1" w:styleId="af">
    <w:name w:val="註釋標題 字元"/>
    <w:basedOn w:val="a0"/>
    <w:link w:val="ae"/>
    <w:rsid w:val="00CA38BB"/>
    <w:rPr>
      <w:rFonts w:ascii="標楷體" w:eastAsia="標楷體" w:hAnsi="Times New Roman" w:cs="Times New Roman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803F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C155-AED7-45BE-AFDC-4EF61E01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李衍清</cp:lastModifiedBy>
  <cp:revision>44</cp:revision>
  <dcterms:created xsi:type="dcterms:W3CDTF">2015-03-26T00:59:00Z</dcterms:created>
  <dcterms:modified xsi:type="dcterms:W3CDTF">2020-02-21T06:50:00Z</dcterms:modified>
</cp:coreProperties>
</file>